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319" w:rsidRPr="00DD7797" w:rsidRDefault="00705319" w:rsidP="00705319">
      <w:pPr>
        <w:jc w:val="center"/>
        <w:rPr>
          <w:rFonts w:asciiTheme="majorHAnsi" w:hAnsiTheme="majorHAnsi" w:cs="Arial"/>
          <w:b/>
          <w:color w:val="auto"/>
          <w:sz w:val="20"/>
          <w:szCs w:val="22"/>
        </w:rPr>
      </w:pPr>
      <w:r w:rsidRPr="00DD7797">
        <w:rPr>
          <w:rFonts w:asciiTheme="majorHAnsi" w:hAnsiTheme="majorHAnsi" w:cs="Arial"/>
          <w:b/>
          <w:color w:val="auto"/>
          <w:sz w:val="20"/>
          <w:szCs w:val="22"/>
        </w:rPr>
        <w:t>GLOBAL EXPRESSION OF INTEREST/ PRE-QUALIFICATION FOR PROVISION OF WORKOVER/COMPLETION RIGS AND ASSOCIATED SERVICES FOR RJ-ON-90/1 BLOCK</w:t>
      </w:r>
    </w:p>
    <w:p w:rsidR="00705319" w:rsidRPr="00DD7797" w:rsidRDefault="00705319" w:rsidP="00705319">
      <w:pPr>
        <w:tabs>
          <w:tab w:val="left" w:pos="8535"/>
        </w:tabs>
        <w:jc w:val="both"/>
        <w:rPr>
          <w:rFonts w:asciiTheme="majorHAnsi" w:hAnsiTheme="majorHAnsi" w:cs="Arial"/>
          <w:color w:val="auto"/>
          <w:sz w:val="20"/>
          <w:szCs w:val="22"/>
        </w:rPr>
      </w:pPr>
      <w:r w:rsidRPr="00DD7797">
        <w:rPr>
          <w:rFonts w:asciiTheme="majorHAnsi" w:hAnsiTheme="majorHAnsi" w:cs="Arial"/>
          <w:color w:val="auto"/>
          <w:sz w:val="20"/>
          <w:szCs w:val="22"/>
        </w:rPr>
        <w:tab/>
      </w:r>
    </w:p>
    <w:p w:rsidR="00705319" w:rsidRPr="00DD7797" w:rsidRDefault="00705319" w:rsidP="00705319">
      <w:pPr>
        <w:autoSpaceDE w:val="0"/>
        <w:autoSpaceDN w:val="0"/>
        <w:adjustRightInd w:val="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Cairn Oil and Gas, a vertical of Vedanta Limited, the Operator of the Onshore </w:t>
      </w:r>
      <w:r w:rsidRPr="00DD7797">
        <w:rPr>
          <w:rFonts w:asciiTheme="majorHAnsi" w:hAnsiTheme="majorHAnsi" w:cs="Arial"/>
          <w:b/>
          <w:color w:val="auto"/>
          <w:sz w:val="20"/>
          <w:szCs w:val="22"/>
        </w:rPr>
        <w:t>RJ-ON-90/1</w:t>
      </w:r>
      <w:r w:rsidRPr="00DD7797">
        <w:rPr>
          <w:rFonts w:asciiTheme="majorHAnsi" w:hAnsiTheme="majorHAnsi" w:cs="Arial"/>
          <w:color w:val="auto"/>
          <w:sz w:val="20"/>
          <w:szCs w:val="22"/>
        </w:rPr>
        <w:t xml:space="preserve"> block located in Barmer district of Rajasthan, India on behalf of itself and its Joint Venture (JV) partners, invites interested Supplier with proven capabilities and demonstrated performance in similar requirement to   express their interest for pre-qualification to participate in the International Competitive Bidding (ICB) Process for the </w:t>
      </w:r>
      <w:r w:rsidRPr="00DD7797">
        <w:rPr>
          <w:rFonts w:asciiTheme="majorHAnsi" w:hAnsiTheme="majorHAnsi" w:cs="Arial"/>
          <w:b/>
          <w:color w:val="auto"/>
          <w:sz w:val="20"/>
          <w:szCs w:val="22"/>
        </w:rPr>
        <w:t>Provision of Workover/Completion Rigs (of various capacities) and Associated Services for Operation, Drilling &amp; Petroleum Engineering related activities in the Onshore RJ-ON-90/1 block</w:t>
      </w:r>
      <w:r w:rsidRPr="00DD7797">
        <w:rPr>
          <w:rFonts w:asciiTheme="majorHAnsi" w:hAnsiTheme="majorHAnsi" w:cs="Arial"/>
          <w:color w:val="auto"/>
          <w:sz w:val="20"/>
          <w:szCs w:val="22"/>
        </w:rPr>
        <w:t>.</w:t>
      </w:r>
    </w:p>
    <w:p w:rsidR="00705319" w:rsidRPr="00DD7797" w:rsidRDefault="00705319" w:rsidP="00705319">
      <w:pPr>
        <w:autoSpaceDE w:val="0"/>
        <w:autoSpaceDN w:val="0"/>
        <w:adjustRightInd w:val="0"/>
        <w:jc w:val="both"/>
        <w:rPr>
          <w:rFonts w:asciiTheme="majorHAnsi" w:hAnsiTheme="majorHAnsi" w:cs="Arial"/>
          <w:color w:val="auto"/>
          <w:sz w:val="20"/>
          <w:szCs w:val="22"/>
        </w:rPr>
      </w:pPr>
    </w:p>
    <w:p w:rsidR="00705319" w:rsidRPr="00DD7797" w:rsidRDefault="00705319" w:rsidP="00705319">
      <w:pPr>
        <w:autoSpaceDE w:val="0"/>
        <w:autoSpaceDN w:val="0"/>
        <w:adjustRightInd w:val="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The services will be required on a long-term basis, up to 5 years, and would include engaging up to 5 Rigs of 50 MT &amp; 100 MT capacity.  </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r w:rsidRPr="00DD7797">
        <w:rPr>
          <w:rFonts w:asciiTheme="majorHAnsi" w:hAnsiTheme="majorHAnsi" w:cs="Arial"/>
          <w:color w:val="auto"/>
          <w:sz w:val="20"/>
          <w:szCs w:val="22"/>
        </w:rPr>
        <w:t>Interested companies meeting following criteria should respond to this EoI:</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tabs>
          <w:tab w:val="left" w:pos="450"/>
          <w:tab w:val="right" w:pos="9185"/>
          <w:tab w:val="right" w:pos="9214"/>
        </w:tabs>
        <w:jc w:val="both"/>
        <w:rPr>
          <w:rFonts w:asciiTheme="majorHAnsi" w:hAnsiTheme="majorHAnsi" w:cs="Arial"/>
          <w:color w:val="auto"/>
          <w:sz w:val="20"/>
          <w:szCs w:val="22"/>
          <w:lang w:bidi="hi"/>
        </w:rPr>
      </w:pPr>
      <w:r w:rsidRPr="00DD7797">
        <w:rPr>
          <w:rFonts w:asciiTheme="majorHAnsi" w:hAnsiTheme="majorHAnsi" w:cs="Arial"/>
          <w:b/>
          <w:color w:val="auto"/>
          <w:sz w:val="20"/>
          <w:szCs w:val="22"/>
          <w:lang w:bidi="hi"/>
        </w:rPr>
        <w:t>Financial Criteria</w:t>
      </w:r>
      <w:r w:rsidRPr="00DD7797">
        <w:rPr>
          <w:rFonts w:asciiTheme="majorHAnsi" w:hAnsiTheme="majorHAnsi" w:cs="Arial"/>
          <w:color w:val="auto"/>
          <w:sz w:val="20"/>
          <w:szCs w:val="22"/>
          <w:lang w:bidi="hi"/>
        </w:rPr>
        <w:t xml:space="preserve">:  </w:t>
      </w:r>
    </w:p>
    <w:p w:rsidR="00705319" w:rsidRPr="00DD7797" w:rsidRDefault="00705319" w:rsidP="00705319">
      <w:pPr>
        <w:tabs>
          <w:tab w:val="left" w:pos="1701"/>
          <w:tab w:val="right" w:pos="9185"/>
          <w:tab w:val="right" w:pos="9214"/>
        </w:tabs>
        <w:ind w:left="1440"/>
        <w:jc w:val="both"/>
        <w:rPr>
          <w:rFonts w:asciiTheme="majorHAnsi" w:hAnsiTheme="majorHAnsi" w:cs="Arial"/>
          <w:color w:val="auto"/>
          <w:sz w:val="20"/>
          <w:szCs w:val="22"/>
        </w:rPr>
      </w:pPr>
    </w:p>
    <w:p w:rsidR="00705319" w:rsidRPr="00DD7797" w:rsidRDefault="00705319" w:rsidP="00705319">
      <w:pPr>
        <w:pStyle w:val="ListParagraph"/>
        <w:numPr>
          <w:ilvl w:val="0"/>
          <w:numId w:val="5"/>
        </w:numPr>
        <w:tabs>
          <w:tab w:val="left" w:pos="1701"/>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 xml:space="preserve">Turnover in each of the immediately preceding two financial years should be equal to or more than the estimated average annual contract value. </w:t>
      </w:r>
    </w:p>
    <w:p w:rsidR="00705319" w:rsidRPr="00DD7797" w:rsidRDefault="00705319" w:rsidP="00705319">
      <w:pPr>
        <w:pStyle w:val="ListParagraph"/>
        <w:numPr>
          <w:ilvl w:val="0"/>
          <w:numId w:val="5"/>
        </w:numPr>
        <w:tabs>
          <w:tab w:val="left" w:pos="1701"/>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Positive net worth in each of the immediately preceding two financial years.</w:t>
      </w:r>
    </w:p>
    <w:p w:rsidR="00705319" w:rsidRPr="00DD7797" w:rsidRDefault="00705319" w:rsidP="00705319">
      <w:pPr>
        <w:pStyle w:val="ListParagraph"/>
        <w:numPr>
          <w:ilvl w:val="0"/>
          <w:numId w:val="5"/>
        </w:numPr>
        <w:tabs>
          <w:tab w:val="left" w:pos="1701"/>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Liquidity ratio shall not be less than 1.00 in each of the preceding Two (02) financial years.</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Also, note – </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pStyle w:val="ListParagraph"/>
        <w:numPr>
          <w:ilvl w:val="0"/>
          <w:numId w:val="7"/>
        </w:numPr>
        <w:tabs>
          <w:tab w:val="left" w:pos="1418"/>
          <w:tab w:val="left" w:pos="1701"/>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 xml:space="preserve">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  </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pStyle w:val="ListParagraph"/>
        <w:numPr>
          <w:ilvl w:val="0"/>
          <w:numId w:val="8"/>
        </w:numPr>
        <w:tabs>
          <w:tab w:val="right" w:pos="9185"/>
          <w:tab w:val="right" w:pos="9214"/>
        </w:tabs>
        <w:spacing w:after="0" w:line="240" w:lineRule="auto"/>
        <w:ind w:hanging="360"/>
        <w:contextualSpacing w:val="0"/>
        <w:jc w:val="both"/>
        <w:rPr>
          <w:rFonts w:asciiTheme="majorHAnsi" w:hAnsiTheme="majorHAnsi" w:cs="Arial"/>
        </w:rPr>
      </w:pPr>
      <w:r w:rsidRPr="00DD7797">
        <w:rPr>
          <w:rFonts w:asciiTheme="majorHAnsi" w:hAnsiTheme="majorHAnsi" w:cs="Arial"/>
        </w:rPr>
        <w:t>Where the bidding entity is unable to meet the Financial Evaluation Criteria, Parent/Holding Company Audited Financials can be considered, subject to:</w:t>
      </w:r>
    </w:p>
    <w:p w:rsidR="00705319" w:rsidRPr="00DD7797" w:rsidRDefault="00705319" w:rsidP="00705319">
      <w:pPr>
        <w:pStyle w:val="ListParagraph"/>
        <w:tabs>
          <w:tab w:val="right" w:pos="9185"/>
          <w:tab w:val="right" w:pos="9214"/>
        </w:tabs>
        <w:jc w:val="both"/>
        <w:rPr>
          <w:rFonts w:asciiTheme="majorHAnsi" w:hAnsiTheme="majorHAnsi" w:cs="Arial"/>
        </w:rPr>
      </w:pPr>
    </w:p>
    <w:p w:rsidR="00705319" w:rsidRPr="00DD7797" w:rsidRDefault="00705319" w:rsidP="00705319">
      <w:pPr>
        <w:tabs>
          <w:tab w:val="left" w:pos="1418"/>
          <w:tab w:val="left" w:pos="1701"/>
          <w:tab w:val="right" w:pos="9185"/>
          <w:tab w:val="right" w:pos="9214"/>
        </w:tabs>
        <w:ind w:left="72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a) Submission of Financial guarantee in the form of 10% Bank guarantee of contract value. </w:t>
      </w:r>
    </w:p>
    <w:p w:rsidR="00705319" w:rsidRPr="00DD7797" w:rsidRDefault="00705319" w:rsidP="00705319">
      <w:pPr>
        <w:tabs>
          <w:tab w:val="left" w:pos="1418"/>
          <w:tab w:val="left" w:pos="1701"/>
          <w:tab w:val="right" w:pos="9185"/>
          <w:tab w:val="right" w:pos="9214"/>
        </w:tabs>
        <w:ind w:left="720"/>
        <w:jc w:val="both"/>
        <w:rPr>
          <w:rFonts w:asciiTheme="majorHAnsi" w:hAnsiTheme="majorHAnsi" w:cs="Arial"/>
          <w:color w:val="auto"/>
          <w:sz w:val="20"/>
          <w:szCs w:val="22"/>
        </w:rPr>
      </w:pPr>
      <w:r w:rsidRPr="00DD7797">
        <w:rPr>
          <w:rFonts w:asciiTheme="majorHAnsi" w:hAnsiTheme="majorHAnsi" w:cs="Arial"/>
          <w:color w:val="auto"/>
          <w:sz w:val="20"/>
          <w:szCs w:val="22"/>
        </w:rPr>
        <w:t>b) Commitment Letter from Parent/Company to provide financial support to the bidding entity.</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pStyle w:val="ListParagraph"/>
        <w:numPr>
          <w:ilvl w:val="0"/>
          <w:numId w:val="8"/>
        </w:numPr>
        <w:tabs>
          <w:tab w:val="right" w:pos="9185"/>
          <w:tab w:val="right" w:pos="9214"/>
        </w:tabs>
        <w:spacing w:after="0" w:line="240" w:lineRule="auto"/>
        <w:ind w:hanging="360"/>
        <w:contextualSpacing w:val="0"/>
        <w:jc w:val="both"/>
        <w:rPr>
          <w:rFonts w:asciiTheme="majorHAnsi" w:hAnsiTheme="majorHAnsi" w:cs="Arial"/>
        </w:rPr>
      </w:pPr>
      <w:r w:rsidRPr="00DD7797">
        <w:rPr>
          <w:rFonts w:asciiTheme="majorHAnsi" w:hAnsiTheme="majorHAnsi" w:cs="Arial"/>
        </w:rPr>
        <w:t>Evaluation will be done only on the basis of the published annual reports / audited financials containing Auditor’s report, Balance sheet, Profit &amp; Loss a/c and Notes to Accounts.</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pStyle w:val="ListParagraph"/>
        <w:numPr>
          <w:ilvl w:val="0"/>
          <w:numId w:val="8"/>
        </w:numPr>
        <w:tabs>
          <w:tab w:val="right" w:pos="9185"/>
          <w:tab w:val="right" w:pos="9214"/>
        </w:tabs>
        <w:spacing w:after="0" w:line="240" w:lineRule="auto"/>
        <w:ind w:hanging="360"/>
        <w:contextualSpacing w:val="0"/>
        <w:jc w:val="both"/>
        <w:rPr>
          <w:rFonts w:asciiTheme="majorHAnsi" w:hAnsiTheme="majorHAnsi" w:cs="Arial"/>
        </w:rPr>
      </w:pPr>
      <w:r w:rsidRPr="00DD7797">
        <w:rPr>
          <w:rFonts w:asciiTheme="majorHAnsi" w:hAnsiTheme="majorHAnsi" w:cs="Arial"/>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tabs>
          <w:tab w:val="left" w:pos="1418"/>
          <w:tab w:val="left" w:pos="1701"/>
          <w:tab w:val="right" w:pos="9185"/>
          <w:tab w:val="right" w:pos="9214"/>
        </w:tabs>
        <w:jc w:val="both"/>
        <w:rPr>
          <w:rFonts w:asciiTheme="majorHAnsi" w:hAnsiTheme="majorHAnsi" w:cs="Arial"/>
          <w:b/>
          <w:color w:val="auto"/>
          <w:sz w:val="20"/>
          <w:szCs w:val="22"/>
        </w:rPr>
      </w:pPr>
      <w:r w:rsidRPr="00DD7797">
        <w:rPr>
          <w:rFonts w:asciiTheme="majorHAnsi" w:hAnsiTheme="majorHAnsi" w:cs="Arial"/>
          <w:color w:val="auto"/>
          <w:sz w:val="20"/>
          <w:szCs w:val="22"/>
        </w:rPr>
        <w:t>All qualifications and exceptions brought out in Auditor’s report and Notes to Accounts would be factored in while undertaking financial evaluation</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tabs>
          <w:tab w:val="left" w:pos="1418"/>
          <w:tab w:val="left" w:pos="1701"/>
          <w:tab w:val="right" w:pos="9185"/>
          <w:tab w:val="right" w:pos="9214"/>
        </w:tabs>
        <w:jc w:val="both"/>
        <w:rPr>
          <w:rFonts w:asciiTheme="majorHAnsi" w:hAnsiTheme="majorHAnsi" w:cs="Arial"/>
          <w:b/>
          <w:color w:val="auto"/>
          <w:sz w:val="20"/>
          <w:szCs w:val="22"/>
        </w:rPr>
      </w:pPr>
      <w:r w:rsidRPr="00DD7797">
        <w:rPr>
          <w:rFonts w:asciiTheme="majorHAnsi" w:hAnsiTheme="majorHAnsi" w:cs="Arial"/>
          <w:b/>
          <w:color w:val="auto"/>
          <w:sz w:val="20"/>
          <w:szCs w:val="22"/>
        </w:rPr>
        <w:t>Technical Criteria:</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r w:rsidRPr="00DD7797">
        <w:rPr>
          <w:rFonts w:asciiTheme="majorHAnsi" w:hAnsiTheme="majorHAnsi" w:cs="Arial"/>
          <w:color w:val="auto"/>
          <w:sz w:val="20"/>
          <w:szCs w:val="22"/>
        </w:rPr>
        <w:tab/>
      </w:r>
    </w:p>
    <w:p w:rsidR="00705319" w:rsidRDefault="00705319" w:rsidP="00705319">
      <w:pPr>
        <w:tabs>
          <w:tab w:val="left" w:pos="1418"/>
          <w:tab w:val="left" w:pos="1701"/>
          <w:tab w:val="right" w:pos="9185"/>
          <w:tab w:val="right" w:pos="9214"/>
        </w:tabs>
        <w:jc w:val="both"/>
        <w:rPr>
          <w:rFonts w:asciiTheme="majorHAnsi" w:hAnsiTheme="majorHAnsi" w:cs="Arial"/>
          <w:color w:val="auto"/>
          <w:sz w:val="20"/>
          <w:szCs w:val="22"/>
        </w:rPr>
      </w:pPr>
      <w:r w:rsidRPr="00DD7797">
        <w:rPr>
          <w:rFonts w:asciiTheme="majorHAnsi" w:hAnsiTheme="majorHAnsi" w:cs="Arial"/>
          <w:color w:val="auto"/>
          <w:sz w:val="20"/>
          <w:szCs w:val="22"/>
        </w:rPr>
        <w:t>Bidder must have minimum 3</w:t>
      </w:r>
      <w:r>
        <w:rPr>
          <w:rFonts w:asciiTheme="majorHAnsi" w:hAnsiTheme="majorHAnsi" w:cs="Arial"/>
          <w:color w:val="auto"/>
          <w:sz w:val="20"/>
          <w:szCs w:val="22"/>
        </w:rPr>
        <w:t>(three)</w:t>
      </w:r>
      <w:r w:rsidRPr="00DD7797">
        <w:rPr>
          <w:rFonts w:asciiTheme="majorHAnsi" w:hAnsiTheme="majorHAnsi" w:cs="Arial"/>
          <w:color w:val="auto"/>
          <w:sz w:val="20"/>
          <w:szCs w:val="22"/>
        </w:rPr>
        <w:t xml:space="preserve"> years of experience in providing rigs (drilling, workover, completion) and associated services.</w:t>
      </w:r>
    </w:p>
    <w:p w:rsidR="00705319" w:rsidRPr="00DD7797" w:rsidRDefault="00705319" w:rsidP="00705319">
      <w:pPr>
        <w:tabs>
          <w:tab w:val="left" w:pos="1418"/>
          <w:tab w:val="left" w:pos="1701"/>
          <w:tab w:val="right" w:pos="9185"/>
          <w:tab w:val="right" w:pos="9214"/>
        </w:tabs>
        <w:jc w:val="both"/>
        <w:rPr>
          <w:rFonts w:asciiTheme="majorHAnsi" w:hAnsiTheme="majorHAnsi" w:cs="Arial"/>
          <w:color w:val="auto"/>
          <w:sz w:val="20"/>
          <w:szCs w:val="22"/>
        </w:rPr>
      </w:pPr>
    </w:p>
    <w:p w:rsidR="00705319" w:rsidRPr="00DD7797" w:rsidRDefault="00705319" w:rsidP="00705319">
      <w:pPr>
        <w:rPr>
          <w:rFonts w:asciiTheme="majorHAnsi" w:hAnsiTheme="majorHAnsi" w:cs="Arial"/>
          <w:color w:val="auto"/>
          <w:sz w:val="20"/>
          <w:szCs w:val="22"/>
        </w:rPr>
      </w:pPr>
      <w:r w:rsidRPr="00DD7797">
        <w:rPr>
          <w:rFonts w:asciiTheme="majorHAnsi" w:hAnsiTheme="majorHAnsi" w:cs="Arial"/>
          <w:color w:val="auto"/>
          <w:sz w:val="20"/>
          <w:szCs w:val="22"/>
        </w:rPr>
        <w:t xml:space="preserve">The interested suppliers should evince interest to participate in the Expression of Interest by clicking on the </w:t>
      </w:r>
      <w:r w:rsidRPr="00DD7797">
        <w:rPr>
          <w:rFonts w:asciiTheme="majorHAnsi" w:hAnsiTheme="majorHAnsi" w:cs="Arial"/>
          <w:b/>
          <w:color w:val="auto"/>
          <w:sz w:val="20"/>
          <w:szCs w:val="22"/>
        </w:rPr>
        <w:t>“Evince Interest” link</w:t>
      </w:r>
      <w:r w:rsidRPr="00DD7797">
        <w:rPr>
          <w:rFonts w:asciiTheme="majorHAnsi" w:hAnsiTheme="majorHAnsi" w:cs="Arial"/>
          <w:color w:val="auto"/>
          <w:sz w:val="20"/>
          <w:szCs w:val="22"/>
        </w:rPr>
        <w:t xml:space="preserve"> against the corresponding EoI listing on the Cairn website i.e. http://www.cairnindia.com and submit their contact details online. Further to this, interested suppliers/ contractors would be invited to submit their response via Smart Source (Cairn’s e Sourcing Platform). </w:t>
      </w:r>
    </w:p>
    <w:p w:rsidR="00705319" w:rsidRPr="00DD7797" w:rsidRDefault="00705319" w:rsidP="00705319">
      <w:pPr>
        <w:rPr>
          <w:rFonts w:asciiTheme="majorHAnsi" w:hAnsiTheme="majorHAnsi" w:cs="Arial"/>
          <w:color w:val="auto"/>
          <w:sz w:val="20"/>
          <w:szCs w:val="22"/>
        </w:rPr>
      </w:pPr>
    </w:p>
    <w:p w:rsidR="00705319" w:rsidRPr="00DD7797" w:rsidRDefault="00705319" w:rsidP="00705319">
      <w:pPr>
        <w:rPr>
          <w:rFonts w:asciiTheme="majorHAnsi" w:hAnsiTheme="majorHAnsi" w:cs="Arial"/>
          <w:color w:val="auto"/>
          <w:sz w:val="20"/>
          <w:szCs w:val="22"/>
        </w:rPr>
      </w:pPr>
      <w:r w:rsidRPr="00DD7797">
        <w:rPr>
          <w:rFonts w:asciiTheme="majorHAnsi" w:hAnsiTheme="majorHAnsi" w:cs="Arial"/>
          <w:color w:val="auto"/>
          <w:sz w:val="20"/>
          <w:szCs w:val="22"/>
        </w:rPr>
        <w:lastRenderedPageBreak/>
        <w:t>The suppliers/contractors may be requested to submit the following pre-qualification documents at an appropriate stage:</w:t>
      </w:r>
    </w:p>
    <w:p w:rsidR="00705319" w:rsidRPr="00DD7797" w:rsidRDefault="00705319" w:rsidP="00705319">
      <w:pPr>
        <w:rPr>
          <w:rFonts w:asciiTheme="majorHAnsi" w:hAnsiTheme="majorHAnsi" w:cs="Arial"/>
          <w:color w:val="auto"/>
          <w:sz w:val="20"/>
          <w:szCs w:val="22"/>
        </w:rPr>
      </w:pPr>
    </w:p>
    <w:p w:rsidR="00705319" w:rsidRPr="00DD7797" w:rsidRDefault="00705319" w:rsidP="00705319">
      <w:pPr>
        <w:numPr>
          <w:ilvl w:val="0"/>
          <w:numId w:val="6"/>
        </w:numPr>
        <w:tabs>
          <w:tab w:val="left" w:pos="450"/>
          <w:tab w:val="right" w:pos="9185"/>
          <w:tab w:val="right" w:pos="9214"/>
        </w:tabs>
        <w:rPr>
          <w:rFonts w:asciiTheme="majorHAnsi" w:hAnsiTheme="majorHAnsi" w:cs="Arial"/>
          <w:color w:val="auto"/>
          <w:sz w:val="20"/>
          <w:szCs w:val="22"/>
        </w:rPr>
      </w:pPr>
      <w:r w:rsidRPr="00DD7797">
        <w:rPr>
          <w:rFonts w:asciiTheme="majorHAnsi" w:hAnsiTheme="majorHAnsi" w:cs="Arial"/>
          <w:color w:val="auto"/>
          <w:sz w:val="20"/>
          <w:szCs w:val="22"/>
        </w:rPr>
        <w:t>Letter of interest clearly indicating the Project references.</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lang w:bidi="hi"/>
        </w:rPr>
        <w:t>Company's financial performance documents (Audited Balance sheets and Profit and Loss statements, Auditors Report and Notes to Accounts etc.) for last 2 (two) years. Latest financial statement should not be older than 12 months on the date of submission of response to Expression of interest.</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 xml:space="preserve">Detailed Company Information with Organisation structure, List of manpower with CVs of key Personnel, Plant and Machinery list mentioning year of manufacturing, Support agencies and other facilities &amp; resources. </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Details of completion of similar type of projects in the last five years under headings:</w:t>
      </w:r>
      <w:r w:rsidRPr="00DD7797">
        <w:rPr>
          <w:rFonts w:asciiTheme="majorHAnsi" w:hAnsiTheme="majorHAnsi" w:cs="Arial"/>
        </w:rPr>
        <w:tab/>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Brief scope of work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Value of work in INR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Contractual Duration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Actual completion of Project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Clients name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Contact details of the Client (Cairn may approach the client directly for the feedback)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 xml:space="preserve">Safety Certification / Inspection of plant and machineries </w:t>
      </w:r>
    </w:p>
    <w:p w:rsidR="00705319" w:rsidRPr="00DD7797" w:rsidRDefault="00705319" w:rsidP="00705319">
      <w:pPr>
        <w:numPr>
          <w:ilvl w:val="1"/>
          <w:numId w:val="5"/>
        </w:numPr>
        <w:tabs>
          <w:tab w:val="left" w:pos="1701"/>
          <w:tab w:val="right" w:pos="9185"/>
          <w:tab w:val="right" w:pos="9214"/>
        </w:tabs>
        <w:ind w:hanging="990"/>
        <w:jc w:val="both"/>
        <w:rPr>
          <w:rFonts w:asciiTheme="majorHAnsi" w:hAnsiTheme="majorHAnsi" w:cs="Arial"/>
          <w:color w:val="auto"/>
          <w:sz w:val="20"/>
          <w:szCs w:val="22"/>
        </w:rPr>
      </w:pPr>
      <w:r w:rsidRPr="00DD7797">
        <w:rPr>
          <w:rFonts w:asciiTheme="majorHAnsi" w:hAnsiTheme="majorHAnsi" w:cs="Arial"/>
          <w:color w:val="auto"/>
          <w:sz w:val="20"/>
          <w:szCs w:val="22"/>
        </w:rPr>
        <w:t>HSE statistics, LTI graph etc.</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 xml:space="preserve">Typical Project Planning and Execution methodology. </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List of all jobs under execution with the value of the Job and percentage completion. (With particular emphasis on project of similar magnitude carried out in Oil and Gas Sector)</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Experience of working in similar terrain and remote areas.</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HSE policy and implementation procedures in line with internationally accepted practices with statistics for last four years.</w:t>
      </w:r>
    </w:p>
    <w:p w:rsidR="00705319" w:rsidRPr="00DD7797" w:rsidRDefault="00705319" w:rsidP="00705319">
      <w:pPr>
        <w:pStyle w:val="ListParagraph"/>
        <w:tabs>
          <w:tab w:val="left" w:pos="450"/>
          <w:tab w:val="right" w:pos="9185"/>
          <w:tab w:val="right" w:pos="9214"/>
        </w:tabs>
        <w:jc w:val="both"/>
        <w:rPr>
          <w:rFonts w:asciiTheme="majorHAnsi" w:hAnsiTheme="majorHAnsi" w:cs="Arial"/>
        </w:rPr>
      </w:pPr>
    </w:p>
    <w:p w:rsidR="00705319" w:rsidRPr="00DD7797" w:rsidRDefault="00705319" w:rsidP="00705319">
      <w:pPr>
        <w:pStyle w:val="ListParagraph"/>
        <w:numPr>
          <w:ilvl w:val="0"/>
          <w:numId w:val="6"/>
        </w:numPr>
        <w:tabs>
          <w:tab w:val="left" w:pos="450"/>
          <w:tab w:val="right" w:pos="9185"/>
          <w:tab w:val="right" w:pos="9214"/>
        </w:tabs>
        <w:spacing w:after="0" w:line="240" w:lineRule="auto"/>
        <w:contextualSpacing w:val="0"/>
        <w:jc w:val="both"/>
        <w:rPr>
          <w:rFonts w:asciiTheme="majorHAnsi" w:hAnsiTheme="majorHAnsi" w:cs="Arial"/>
        </w:rPr>
      </w:pPr>
      <w:r w:rsidRPr="00DD7797">
        <w:rPr>
          <w:rFonts w:asciiTheme="majorHAnsi" w:hAnsiTheme="majorHAnsi" w:cs="Arial"/>
        </w:rPr>
        <w:t>Quality assurance &amp; Quality control practices currently in place for the execution of similar work/services.</w:t>
      </w:r>
    </w:p>
    <w:p w:rsidR="00705319" w:rsidRPr="00DD7797" w:rsidRDefault="00705319" w:rsidP="00705319">
      <w:pPr>
        <w:tabs>
          <w:tab w:val="left" w:pos="1418"/>
          <w:tab w:val="left" w:pos="1701"/>
          <w:tab w:val="right" w:pos="9185"/>
          <w:tab w:val="right" w:pos="9214"/>
        </w:tabs>
        <w:ind w:left="720"/>
        <w:jc w:val="both"/>
        <w:rPr>
          <w:rFonts w:asciiTheme="majorHAnsi" w:hAnsiTheme="majorHAnsi" w:cs="Arial"/>
          <w:color w:val="auto"/>
          <w:sz w:val="20"/>
          <w:szCs w:val="22"/>
        </w:rPr>
      </w:pPr>
    </w:p>
    <w:p w:rsidR="00705319" w:rsidRPr="00DD7797" w:rsidRDefault="00705319" w:rsidP="00705319">
      <w:pPr>
        <w:pBdr>
          <w:bottom w:val="single" w:sz="6" w:space="1" w:color="auto"/>
        </w:pBdr>
        <w:jc w:val="both"/>
        <w:rPr>
          <w:rFonts w:asciiTheme="majorHAnsi" w:hAnsiTheme="majorHAnsi" w:cs="Arial"/>
          <w:b/>
          <w:i/>
          <w:color w:val="auto"/>
          <w:sz w:val="20"/>
          <w:szCs w:val="22"/>
        </w:rPr>
      </w:pPr>
      <w:r w:rsidRPr="00DD7797">
        <w:rPr>
          <w:rFonts w:asciiTheme="majorHAnsi" w:hAnsiTheme="majorHAnsi" w:cs="Arial"/>
          <w:b/>
          <w:color w:val="auto"/>
          <w:sz w:val="20"/>
          <w:szCs w:val="22"/>
        </w:rPr>
        <w:t>The interested suppliers should “</w:t>
      </w:r>
      <w:r w:rsidRPr="00DD7797">
        <w:rPr>
          <w:rFonts w:asciiTheme="majorHAnsi" w:hAnsiTheme="majorHAnsi" w:cs="Arial"/>
          <w:b/>
          <w:color w:val="2F5496" w:themeColor="accent1" w:themeShade="BF"/>
          <w:sz w:val="20"/>
          <w:szCs w:val="22"/>
        </w:rPr>
        <w:t xml:space="preserve">Evince interest” </w:t>
      </w:r>
      <w:r w:rsidRPr="00DD7797">
        <w:rPr>
          <w:rFonts w:asciiTheme="majorHAnsi" w:hAnsiTheme="majorHAnsi" w:cs="Arial"/>
          <w:b/>
          <w:color w:val="auto"/>
          <w:sz w:val="20"/>
          <w:szCs w:val="22"/>
        </w:rPr>
        <w:t xml:space="preserve">to participate in EoI within 14 days of publication of </w:t>
      </w:r>
      <w:r w:rsidRPr="00DD7797">
        <w:rPr>
          <w:rFonts w:asciiTheme="majorHAnsi" w:hAnsiTheme="majorHAnsi" w:cs="Arial"/>
          <w:b/>
          <w:color w:val="2F5496" w:themeColor="accent1" w:themeShade="BF"/>
          <w:sz w:val="20"/>
          <w:szCs w:val="22"/>
        </w:rPr>
        <w:t>Expression of Interest</w:t>
      </w:r>
      <w:r w:rsidRPr="00DD7797">
        <w:rPr>
          <w:rFonts w:asciiTheme="majorHAnsi" w:hAnsiTheme="majorHAnsi" w:cs="Arial"/>
          <w:b/>
          <w:color w:val="auto"/>
          <w:sz w:val="20"/>
          <w:szCs w:val="22"/>
        </w:rPr>
        <w:t>.</w:t>
      </w:r>
    </w:p>
    <w:p w:rsidR="00705319" w:rsidRPr="00DD7797" w:rsidRDefault="00705319" w:rsidP="00705319">
      <w:pPr>
        <w:pBdr>
          <w:bottom w:val="single" w:sz="6" w:space="1" w:color="auto"/>
        </w:pBdr>
        <w:jc w:val="both"/>
        <w:rPr>
          <w:rFonts w:asciiTheme="majorHAnsi" w:hAnsiTheme="majorHAnsi" w:cs="Arial"/>
          <w:color w:val="auto"/>
          <w:sz w:val="20"/>
          <w:szCs w:val="22"/>
        </w:rPr>
      </w:pPr>
    </w:p>
    <w:p w:rsidR="00705319" w:rsidRPr="00DD7797" w:rsidRDefault="00705319" w:rsidP="00705319">
      <w:pPr>
        <w:jc w:val="both"/>
        <w:rPr>
          <w:rFonts w:asciiTheme="majorHAnsi" w:hAnsiTheme="majorHAnsi" w:cs="Arial"/>
          <w:b/>
          <w:i/>
          <w:color w:val="auto"/>
          <w:sz w:val="20"/>
          <w:szCs w:val="22"/>
        </w:rPr>
      </w:pPr>
    </w:p>
    <w:p w:rsidR="00CD1B39" w:rsidRPr="00AC1E74" w:rsidRDefault="00CD1B39" w:rsidP="00CD1B39">
      <w:pPr>
        <w:ind w:left="360"/>
        <w:jc w:val="both"/>
        <w:rPr>
          <w:rFonts w:asciiTheme="majorHAnsi" w:eastAsiaTheme="minorHAnsi" w:hAnsiTheme="majorHAnsi" w:cs="Arial"/>
          <w:color w:val="auto"/>
          <w:szCs w:val="22"/>
          <w:lang w:val="en-IN"/>
        </w:rPr>
      </w:pPr>
    </w:p>
    <w:p w:rsidR="006075CE" w:rsidRDefault="007201E5">
      <w:r>
        <w:rPr>
          <w:rFonts w:ascii="Cambria" w:eastAsiaTheme="minorHAnsi" w:hAnsi="Cambria" w:cs="Arial"/>
          <w:b/>
          <w:color w:val="auto"/>
          <w:sz w:val="24"/>
          <w:szCs w:val="22"/>
          <w:lang w:val="en-IN"/>
        </w:rPr>
        <w:t xml:space="preserve">In case of any issue faced by the vendor during the evincing of interest please contact </w:t>
      </w:r>
      <w:hyperlink r:id="rId10" w:history="1">
        <w:r>
          <w:rPr>
            <w:rStyle w:val="Hyperlink"/>
            <w:rFonts w:ascii="Cambria" w:hAnsi="Cambria"/>
            <w:b/>
            <w:color w:val="auto"/>
            <w:sz w:val="24"/>
          </w:rPr>
          <w:t>Manjushree.Samanta@cairnindia.com</w:t>
        </w:r>
      </w:hyperlink>
      <w:r>
        <w:rPr>
          <w:rFonts w:ascii="Cambria" w:hAnsi="Cambria"/>
          <w:b/>
          <w:color w:val="auto"/>
          <w:sz w:val="24"/>
        </w:rPr>
        <w:t xml:space="preserve"> / 0120-6664407</w:t>
      </w:r>
      <w:bookmarkStart w:id="0" w:name="_GoBack"/>
      <w:bookmarkEnd w:id="0"/>
    </w:p>
    <w:sectPr w:rsidR="006075CE" w:rsidSect="00FE46DD">
      <w:headerReference w:type="even" r:id="rId11"/>
      <w:headerReference w:type="default" r:id="rId12"/>
      <w:footerReference w:type="even" r:id="rId13"/>
      <w:footerReference w:type="default" r:id="rId14"/>
      <w:headerReference w:type="first" r:id="rId15"/>
      <w:footerReference w:type="first" r:id="rId16"/>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A5B" w:rsidRDefault="00425A5B" w:rsidP="00CD1B39">
      <w:r>
        <w:separator/>
      </w:r>
    </w:p>
  </w:endnote>
  <w:endnote w:type="continuationSeparator" w:id="0">
    <w:p w:rsidR="00425A5B" w:rsidRDefault="00425A5B"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1E5" w:rsidRDefault="00720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7201E5">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9dfd4f18b653236674e60fa6"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01E5" w:rsidRPr="007201E5" w:rsidRDefault="007201E5" w:rsidP="007201E5">
                          <w:pPr>
                            <w:jc w:val="center"/>
                            <w:rPr>
                              <w:rFonts w:ascii="Calibri" w:hAnsi="Calibri" w:cs="Calibri"/>
                              <w:color w:val="000000"/>
                              <w:sz w:val="20"/>
                            </w:rPr>
                          </w:pPr>
                          <w:r w:rsidRPr="007201E5">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dfd4f18b653236674e60fa6" o:spid="_x0000_s1026"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" o:allowincell="f" filled="f" stroked="f" strokeweight=".5pt">
              <v:fill o:detectmouseclick="t"/>
              <v:textbox inset=",0,,0">
                <w:txbxContent>
                  <w:p w:rsidR="007201E5" w:rsidRPr="007201E5" w:rsidRDefault="007201E5" w:rsidP="007201E5">
                    <w:pPr>
                      <w:jc w:val="center"/>
                      <w:rPr>
                        <w:rFonts w:ascii="Calibri" w:hAnsi="Calibri" w:cs="Calibri"/>
                        <w:color w:val="000000"/>
                        <w:sz w:val="20"/>
                      </w:rPr>
                    </w:pPr>
                    <w:r w:rsidRPr="007201E5">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1E5" w:rsidRDefault="00720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A5B" w:rsidRDefault="00425A5B" w:rsidP="00CD1B39">
      <w:r>
        <w:separator/>
      </w:r>
    </w:p>
  </w:footnote>
  <w:footnote w:type="continuationSeparator" w:id="0">
    <w:p w:rsidR="00425A5B" w:rsidRDefault="00425A5B"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1E5" w:rsidRDefault="00720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1E5" w:rsidRDefault="00720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47E"/>
    <w:multiLevelType w:val="hybridMultilevel"/>
    <w:tmpl w:val="72BC087A"/>
    <w:lvl w:ilvl="0" w:tplc="BF0EE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E672D"/>
    <w:multiLevelType w:val="hybridMultilevel"/>
    <w:tmpl w:val="D1B8196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425A5B"/>
    <w:rsid w:val="006075CE"/>
    <w:rsid w:val="00705319"/>
    <w:rsid w:val="007201E5"/>
    <w:rsid w:val="00A608A7"/>
    <w:rsid w:val="00CD1B39"/>
    <w:rsid w:val="00DE428D"/>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paragraph" w:styleId="Heading1">
    <w:name w:val="heading 1"/>
    <w:aliases w:val="Form Title"/>
    <w:basedOn w:val="Normal"/>
    <w:next w:val="Normal"/>
    <w:link w:val="Heading1Char"/>
    <w:qFormat/>
    <w:rsid w:val="00705319"/>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character" w:customStyle="1" w:styleId="Heading1Char">
    <w:name w:val="Heading 1 Char"/>
    <w:aliases w:val="Form Title Char"/>
    <w:basedOn w:val="DefaultParagraphFont"/>
    <w:link w:val="Heading1"/>
    <w:rsid w:val="00705319"/>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njushree.Samanta@cairnind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rtDate xmlns="6b02143d-c076-4788-b315-b1d4ff2ff2ad">2019-10-10T18:30:00+00:00</StartDate>
    <PublisherEmailID xmlns="6b02143d-c076-4788-b315-b1d4ff2ff2ad">PradeepKumar.Sharma@cairnindia.com;Punna.Spandana@cairnindia.com;Sanchari.Das@cairnindia.com</PublisherEmailID>
    <Status xmlns="6b02143d-c076-4788-b315-b1d4ff2ff2ad">Published</Status>
    <PublisherName xmlns="6b02143d-c076-4788-b315-b1d4ff2ff2ad">Pradeep Kumar Sharma;Punna Spandana;Sanchari Das</PublisherName>
    <EndDate xmlns="6b02143d-c076-4788-b315-b1d4ff2ff2ad">2019-11-22T13:30:00+00:00</EndDate>
    <EvinceInterestURL xmlns="78439af1-28f1-4ee5-8d5a-af7253c94f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335A8-3C0C-4A80-A2D3-841FD333F404}"/>
</file>

<file path=customXml/itemProps2.xml><?xml version="1.0" encoding="utf-8"?>
<ds:datastoreItem xmlns:ds="http://schemas.openxmlformats.org/officeDocument/2006/customXml" ds:itemID="{FA895AD3-78F5-4807-A487-8B66229F7BB4}"/>
</file>

<file path=customXml/itemProps3.xml><?xml version="1.0" encoding="utf-8"?>
<ds:datastoreItem xmlns:ds="http://schemas.openxmlformats.org/officeDocument/2006/customXml" ds:itemID="{D8F1DF4E-1004-4216-9E17-E4E1D01C3DC9}"/>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PRE-QUALIFICATION FOR PROVISION OF WORKOVER/COMPLETION RIGS AND ASSOCIATED SERVICES FOR RJ-ON-90/1 BLOCK</dc:title>
  <dc:subject/>
  <dc:creator>Aarthi Kumar</dc:creator>
  <cp:keywords/>
  <dc:description/>
  <cp:lastModifiedBy>Aarthi Kumar</cp:lastModifiedBy>
  <cp:revision>4</cp:revision>
  <dcterms:created xsi:type="dcterms:W3CDTF">2019-10-10T06:15:00Z</dcterms:created>
  <dcterms:modified xsi:type="dcterms:W3CDTF">2019-10-25T08:02:00Z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12558@cairnindia.com</vt:lpwstr>
  </property>
  <property fmtid="{D5CDD505-2E9C-101B-9397-08002B2CF9AE}" pid="5" name="MSIP_Label_d8018b01-d6ca-4215-a70f-0f507ff65fa4_SetDate">
    <vt:lpwstr>2019-10-10T06:14:07.3359249Z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57775cd7-d488-4de8-8fb5-f1cd30a03c00</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12558@cairnindia.com</vt:lpwstr>
  </property>
  <property fmtid="{D5CDD505-2E9C-101B-9397-08002B2CF9AE}" pid="13" name="MSIP_Label_1a837f0f-bc33-47ca-8126-9d7bb0fbe56f_SetDate">
    <vt:lpwstr>2019-10-10T06:14:07.3359249Z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57775cd7-d488-4de8-8fb5-f1cd30a03c00</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